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26" w:rsidRDefault="00D70C4A">
      <w:pPr>
        <w:ind w:left="9923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</w:rPr>
        <w:t>Додаток 2</w:t>
      </w:r>
    </w:p>
    <w:p w:rsidR="00A40426" w:rsidRDefault="00D70C4A">
      <w:pPr>
        <w:pStyle w:val="Default"/>
        <w:ind w:left="9923"/>
        <w:jc w:val="both"/>
      </w:pPr>
      <w:r>
        <w:t>до Обласної програми збереження пам’яток архітектури місцевого значення Чернігівської області на 2024 рік</w:t>
      </w:r>
    </w:p>
    <w:p w:rsidR="00A40426" w:rsidRDefault="00A40426">
      <w:pPr>
        <w:pStyle w:val="Default"/>
        <w:ind w:left="8931"/>
        <w:jc w:val="both"/>
        <w:rPr>
          <w:sz w:val="28"/>
          <w:szCs w:val="28"/>
        </w:rPr>
      </w:pPr>
    </w:p>
    <w:p w:rsidR="00A40426" w:rsidRDefault="00A40426">
      <w:pPr>
        <w:pStyle w:val="Default"/>
        <w:ind w:left="8931"/>
        <w:jc w:val="both"/>
        <w:rPr>
          <w:sz w:val="28"/>
          <w:szCs w:val="28"/>
        </w:rPr>
      </w:pPr>
    </w:p>
    <w:p w:rsidR="00A40426" w:rsidRDefault="00D70C4A">
      <w:pPr>
        <w:tabs>
          <w:tab w:val="left" w:pos="5103"/>
        </w:tabs>
        <w:ind w:firstLine="708"/>
        <w:jc w:val="center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Напрями діяльності та заходи </w:t>
      </w:r>
      <w:r>
        <w:rPr>
          <w:sz w:val="28"/>
          <w:szCs w:val="28"/>
        </w:rPr>
        <w:t>Обласної програми збереження пам’яток архітектури</w:t>
      </w:r>
    </w:p>
    <w:p w:rsidR="00A40426" w:rsidRDefault="00D70C4A">
      <w:pPr>
        <w:tabs>
          <w:tab w:val="left" w:pos="5103"/>
        </w:tabs>
        <w:ind w:firstLine="708"/>
        <w:jc w:val="center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місцевого значення Чернігівської області на 2024 рік</w:t>
      </w:r>
    </w:p>
    <w:p w:rsidR="00A40426" w:rsidRDefault="00A40426">
      <w:pPr>
        <w:tabs>
          <w:tab w:val="left" w:pos="5103"/>
        </w:tabs>
        <w:ind w:firstLine="708"/>
        <w:jc w:val="center"/>
        <w:rPr>
          <w:color w:val="000000"/>
          <w:spacing w:val="-2"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2126"/>
        <w:gridCol w:w="1276"/>
        <w:gridCol w:w="1984"/>
        <w:gridCol w:w="1417"/>
        <w:gridCol w:w="1418"/>
        <w:gridCol w:w="1134"/>
        <w:gridCol w:w="1134"/>
        <w:gridCol w:w="2835"/>
      </w:tblGrid>
      <w:tr w:rsidR="00A40426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26" w:rsidRDefault="00D70C4A">
            <w:pPr>
              <w:ind w:right="-108"/>
              <w:jc w:val="center"/>
            </w:pPr>
            <w:r>
              <w:t>№</w:t>
            </w:r>
            <w:r>
              <w:br/>
            </w:r>
            <w:r>
              <w:t>з/п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6" w:rsidRDefault="00D70C4A">
            <w:pPr>
              <w:jc w:val="center"/>
            </w:pPr>
            <w:r>
              <w:t>Назва напряму діяльності (пріоритетні завдання)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6" w:rsidRDefault="00D70C4A">
            <w:pPr>
              <w:jc w:val="center"/>
            </w:pPr>
            <w: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6" w:rsidRDefault="00D70C4A">
            <w:pPr>
              <w:ind w:left="-108" w:right="-108"/>
              <w:jc w:val="center"/>
            </w:pPr>
            <w:r>
              <w:t>Строк виконання 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6" w:rsidRDefault="00D70C4A">
            <w:pPr>
              <w:jc w:val="center"/>
            </w:pPr>
            <w: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26" w:rsidRDefault="00D70C4A">
            <w:pPr>
              <w:ind w:right="-108"/>
              <w:jc w:val="center"/>
            </w:pPr>
            <w:r>
              <w:t>Джерела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26" w:rsidRDefault="00D70C4A">
            <w:pPr>
              <w:jc w:val="center"/>
            </w:pPr>
            <w:r>
              <w:t>Орієнтовні обсяги фінансування (вартість),</w:t>
            </w:r>
          </w:p>
          <w:p w:rsidR="00A40426" w:rsidRDefault="00D70C4A">
            <w:pPr>
              <w:jc w:val="center"/>
            </w:pPr>
            <w:r>
              <w:t xml:space="preserve"> тис. грн, у тому числі: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26" w:rsidRDefault="00D70C4A">
            <w:pPr>
              <w:ind w:left="-108"/>
              <w:jc w:val="center"/>
            </w:pPr>
            <w:r>
              <w:t>Всього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26" w:rsidRDefault="00D70C4A">
            <w:pPr>
              <w:jc w:val="center"/>
            </w:pPr>
            <w:r>
              <w:t>Очікувані результати</w:t>
            </w:r>
          </w:p>
        </w:tc>
      </w:tr>
      <w:tr w:rsidR="00A40426">
        <w:trPr>
          <w:trHeight w:val="481"/>
        </w:trPr>
        <w:tc>
          <w:tcPr>
            <w:tcW w:w="425" w:type="dxa"/>
            <w:vMerge/>
          </w:tcPr>
          <w:p w:rsidR="00A40426" w:rsidRDefault="00A40426">
            <w:pPr>
              <w:jc w:val="center"/>
            </w:pPr>
          </w:p>
        </w:tc>
        <w:tc>
          <w:tcPr>
            <w:tcW w:w="1844" w:type="dxa"/>
            <w:vMerge/>
          </w:tcPr>
          <w:p w:rsidR="00A40426" w:rsidRDefault="00A40426">
            <w:pPr>
              <w:jc w:val="center"/>
            </w:pPr>
          </w:p>
        </w:tc>
        <w:tc>
          <w:tcPr>
            <w:tcW w:w="2126" w:type="dxa"/>
            <w:vMerge/>
          </w:tcPr>
          <w:p w:rsidR="00A40426" w:rsidRDefault="00A40426">
            <w:pPr>
              <w:jc w:val="center"/>
            </w:pPr>
          </w:p>
        </w:tc>
        <w:tc>
          <w:tcPr>
            <w:tcW w:w="1276" w:type="dxa"/>
            <w:vMerge/>
          </w:tcPr>
          <w:p w:rsidR="00A40426" w:rsidRDefault="00A40426">
            <w:pPr>
              <w:ind w:left="-108" w:right="-108"/>
              <w:jc w:val="center"/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40426" w:rsidRDefault="00A4042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426" w:rsidRDefault="00A40426">
            <w:pPr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426" w:rsidRDefault="00A40426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0426" w:rsidRDefault="00D70C4A">
            <w:pPr>
              <w:ind w:left="-108" w:right="-108"/>
              <w:jc w:val="center"/>
            </w:pPr>
            <w:r>
              <w:t>Обласний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40426" w:rsidRDefault="00D70C4A">
            <w:pPr>
              <w:jc w:val="center"/>
            </w:pPr>
            <w:r>
              <w:t>Інші кошти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426" w:rsidRDefault="00A40426">
            <w:pPr>
              <w:jc w:val="center"/>
            </w:pPr>
          </w:p>
        </w:tc>
      </w:tr>
      <w:tr w:rsidR="00A40426">
        <w:trPr>
          <w:trHeight w:val="704"/>
        </w:trPr>
        <w:tc>
          <w:tcPr>
            <w:tcW w:w="425" w:type="dxa"/>
            <w:vMerge w:val="restart"/>
            <w:vAlign w:val="center"/>
          </w:tcPr>
          <w:p w:rsidR="00A40426" w:rsidRDefault="00D70C4A">
            <w:pPr>
              <w:jc w:val="both"/>
            </w:pPr>
            <w:r>
              <w:t>1</w:t>
            </w:r>
          </w:p>
        </w:tc>
        <w:tc>
          <w:tcPr>
            <w:tcW w:w="1844" w:type="dxa"/>
            <w:vMerge w:val="restart"/>
          </w:tcPr>
          <w:p w:rsidR="00A40426" w:rsidRDefault="00D70C4A">
            <w:pPr>
              <w:ind w:right="-120"/>
            </w:pPr>
            <w:r>
              <w:t>Протиаварійні роботи на пам’ятці архітектури місцевого значення «Губернська земська управа», охоронний № 2-Чг у м. Чернігів</w:t>
            </w:r>
          </w:p>
        </w:tc>
        <w:tc>
          <w:tcPr>
            <w:tcW w:w="2126" w:type="dxa"/>
            <w:vMerge w:val="restart"/>
          </w:tcPr>
          <w:p w:rsidR="00A40426" w:rsidRDefault="00D70C4A">
            <w:r>
              <w:t>Проведення протиаварійних робіт на пам'</w:t>
            </w:r>
            <w:r>
              <w:t>ятці, у тому числі виготовлення науково-проектної документації на протиаварійні роботи та проходження експертизи</w:t>
            </w:r>
          </w:p>
        </w:tc>
        <w:tc>
          <w:tcPr>
            <w:tcW w:w="1276" w:type="dxa"/>
            <w:vMerge w:val="restart"/>
            <w:vAlign w:val="center"/>
          </w:tcPr>
          <w:p w:rsidR="00A40426" w:rsidRDefault="00D70C4A">
            <w:pPr>
              <w:jc w:val="center"/>
            </w:pPr>
            <w:r>
              <w:t>2024</w:t>
            </w:r>
          </w:p>
        </w:tc>
        <w:tc>
          <w:tcPr>
            <w:tcW w:w="1984" w:type="dxa"/>
            <w:vMerge w:val="restart"/>
          </w:tcPr>
          <w:p w:rsidR="00A40426" w:rsidRDefault="00D70C4A">
            <w:r>
              <w:t>Управління капітального будівництва Чернігівської обласної державної адміністрації, сертифіковані (ліцензовані) проектні та будівельні організації</w:t>
            </w:r>
          </w:p>
        </w:tc>
        <w:tc>
          <w:tcPr>
            <w:tcW w:w="1417" w:type="dxa"/>
            <w:vAlign w:val="center"/>
          </w:tcPr>
          <w:p w:rsidR="00A40426" w:rsidRDefault="00D70C4A">
            <w:r>
              <w:t>Обласний бюджет</w:t>
            </w:r>
          </w:p>
        </w:tc>
        <w:tc>
          <w:tcPr>
            <w:tcW w:w="1418" w:type="dxa"/>
            <w:vAlign w:val="center"/>
          </w:tcPr>
          <w:p w:rsidR="00A40426" w:rsidRDefault="00D70C4A">
            <w:pPr>
              <w:jc w:val="center"/>
            </w:pPr>
            <w:r>
              <w:t>967,258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40426" w:rsidRDefault="00D70C4A">
            <w:pPr>
              <w:ind w:left="113" w:right="113"/>
              <w:jc w:val="center"/>
            </w:pPr>
            <w:r>
              <w:t>967,258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40426" w:rsidRDefault="00D70C4A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A40426" w:rsidRDefault="00D70C4A">
            <w:pPr>
              <w:ind w:right="34"/>
              <w:jc w:val="both"/>
            </w:pPr>
            <w:r>
              <w:t>Виготовлено науково-проектну документацію на пам’ятки архітектури місцевого</w:t>
            </w:r>
            <w:r>
              <w:t xml:space="preserve"> значення.</w:t>
            </w:r>
          </w:p>
          <w:p w:rsidR="00A40426" w:rsidRDefault="00D70C4A">
            <w:pPr>
              <w:jc w:val="both"/>
            </w:pPr>
            <w:r>
              <w:t>Проведено протиаварійні та невідкладні консерваційні роботи з метою їх збереження та відновлення.</w:t>
            </w:r>
          </w:p>
          <w:p w:rsidR="00A40426" w:rsidRDefault="00D70C4A">
            <w:pPr>
              <w:jc w:val="both"/>
              <w:rPr>
                <w:b/>
              </w:rPr>
            </w:pPr>
            <w:r>
              <w:rPr>
                <w:b/>
              </w:rPr>
              <w:t>1. Показник витрат</w:t>
            </w:r>
          </w:p>
          <w:p w:rsidR="00A40426" w:rsidRDefault="00D70C4A">
            <w:pPr>
              <w:ind w:right="34"/>
              <w:jc w:val="both"/>
            </w:pPr>
            <w:r>
              <w:t xml:space="preserve">Обсяг видатків на виготовлення науково-проектної документації та проведення протиаварійних та невідкладних консерваційних робіт </w:t>
            </w:r>
            <w:r>
              <w:t>(тис. грн):</w:t>
            </w:r>
          </w:p>
          <w:p w:rsidR="00A40426" w:rsidRDefault="00D70C4A">
            <w:pPr>
              <w:ind w:right="34" w:firstLine="174"/>
              <w:jc w:val="both"/>
            </w:pPr>
            <w:r>
              <w:t>2024 рік:</w:t>
            </w:r>
          </w:p>
          <w:p w:rsidR="00A40426" w:rsidRDefault="00D70C4A">
            <w:pPr>
              <w:ind w:right="34" w:firstLine="174"/>
              <w:jc w:val="both"/>
            </w:pPr>
            <w:r>
              <w:t>обласний бюджет – 967,258;</w:t>
            </w:r>
          </w:p>
          <w:p w:rsidR="00A40426" w:rsidRDefault="00D70C4A">
            <w:pPr>
              <w:ind w:right="34" w:firstLine="174"/>
              <w:jc w:val="both"/>
            </w:pPr>
            <w:r>
              <w:t>інші кошти – 11560,000.</w:t>
            </w:r>
          </w:p>
          <w:p w:rsidR="00A40426" w:rsidRDefault="00D70C4A">
            <w:pPr>
              <w:jc w:val="both"/>
              <w:rPr>
                <w:b/>
              </w:rPr>
            </w:pPr>
            <w:r>
              <w:rPr>
                <w:b/>
              </w:rPr>
              <w:t>2. Показники продукту:</w:t>
            </w:r>
          </w:p>
          <w:p w:rsidR="00A40426" w:rsidRDefault="00D70C4A">
            <w:pPr>
              <w:jc w:val="both"/>
            </w:pPr>
            <w:r>
              <w:t>кількість об’єктів культурної спадщини, на які розроблено науково-проектну документацію, од.:</w:t>
            </w:r>
          </w:p>
          <w:p w:rsidR="00A40426" w:rsidRDefault="00D70C4A">
            <w:pPr>
              <w:jc w:val="both"/>
            </w:pPr>
            <w:r>
              <w:lastRenderedPageBreak/>
              <w:t>2024 – 2;</w:t>
            </w:r>
          </w:p>
          <w:p w:rsidR="00A40426" w:rsidRDefault="00D70C4A">
            <w:pPr>
              <w:jc w:val="both"/>
            </w:pPr>
            <w:r>
              <w:t>кількість об’єктів культурної спадщини, на яких проведен</w:t>
            </w:r>
            <w:r>
              <w:t>о протиаварійні та невідкладні консерваційні роботи, од.:</w:t>
            </w:r>
          </w:p>
          <w:p w:rsidR="00A40426" w:rsidRDefault="00D70C4A">
            <w:pPr>
              <w:jc w:val="both"/>
            </w:pPr>
            <w:r>
              <w:t>2024 – 3.</w:t>
            </w:r>
          </w:p>
          <w:p w:rsidR="00A40426" w:rsidRDefault="00D70C4A">
            <w:pPr>
              <w:jc w:val="both"/>
              <w:rPr>
                <w:b/>
              </w:rPr>
            </w:pPr>
            <w:r>
              <w:rPr>
                <w:b/>
              </w:rPr>
              <w:t>3. Показники якості</w:t>
            </w:r>
          </w:p>
          <w:p w:rsidR="00A40426" w:rsidRDefault="00D70C4A">
            <w:pPr>
              <w:jc w:val="both"/>
            </w:pPr>
            <w:r>
              <w:t>рівень готовності об’єктів по факту проведення протиаварійних та невідкладних консерваційних робіт:</w:t>
            </w:r>
          </w:p>
          <w:p w:rsidR="00A40426" w:rsidRDefault="00D70C4A">
            <w:pPr>
              <w:jc w:val="both"/>
            </w:pPr>
            <w:r>
              <w:t>2024 – 100,0%.</w:t>
            </w:r>
          </w:p>
        </w:tc>
      </w:tr>
      <w:tr w:rsidR="00A40426">
        <w:trPr>
          <w:trHeight w:val="704"/>
        </w:trPr>
        <w:tc>
          <w:tcPr>
            <w:tcW w:w="425" w:type="dxa"/>
            <w:vMerge/>
            <w:vAlign w:val="center"/>
          </w:tcPr>
          <w:p w:rsidR="00A40426" w:rsidRDefault="00A40426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A40426" w:rsidRDefault="00A40426">
            <w:pPr>
              <w:spacing w:line="276" w:lineRule="auto"/>
            </w:pPr>
          </w:p>
        </w:tc>
        <w:tc>
          <w:tcPr>
            <w:tcW w:w="2126" w:type="dxa"/>
            <w:vMerge/>
            <w:vAlign w:val="center"/>
          </w:tcPr>
          <w:p w:rsidR="00A40426" w:rsidRDefault="00A40426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40426" w:rsidRDefault="00A4042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40426" w:rsidRDefault="00A40426"/>
        </w:tc>
        <w:tc>
          <w:tcPr>
            <w:tcW w:w="1417" w:type="dxa"/>
            <w:vAlign w:val="center"/>
          </w:tcPr>
          <w:p w:rsidR="00A40426" w:rsidRDefault="00D70C4A">
            <w:r>
              <w:t>Інші кошти</w:t>
            </w:r>
          </w:p>
        </w:tc>
        <w:tc>
          <w:tcPr>
            <w:tcW w:w="1418" w:type="dxa"/>
            <w:vAlign w:val="center"/>
          </w:tcPr>
          <w:p w:rsidR="00A40426" w:rsidRDefault="00D70C4A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A40426" w:rsidRDefault="00A40426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40426" w:rsidRDefault="00A40426">
            <w:pPr>
              <w:ind w:left="113" w:right="113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A40426" w:rsidRDefault="00A40426">
            <w:pPr>
              <w:ind w:right="34"/>
              <w:jc w:val="both"/>
            </w:pPr>
          </w:p>
        </w:tc>
      </w:tr>
      <w:tr w:rsidR="00A40426">
        <w:trPr>
          <w:trHeight w:val="704"/>
        </w:trPr>
        <w:tc>
          <w:tcPr>
            <w:tcW w:w="425" w:type="dxa"/>
            <w:vMerge w:val="restart"/>
            <w:vAlign w:val="center"/>
          </w:tcPr>
          <w:p w:rsidR="00A40426" w:rsidRDefault="00D70C4A">
            <w:pPr>
              <w:jc w:val="both"/>
            </w:pPr>
            <w: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A40426" w:rsidRDefault="00D70C4A">
            <w:pPr>
              <w:ind w:right="-120"/>
            </w:pPr>
            <w:r>
              <w:t>Невідкладні консерваційні</w:t>
            </w:r>
            <w:r>
              <w:t xml:space="preserve"> роботи на частині пам’ятки архітектури місцевого значення «Кінотеатр ім. Щорса», охоронний № 76-Чг в м. Чернігів</w:t>
            </w:r>
          </w:p>
        </w:tc>
        <w:tc>
          <w:tcPr>
            <w:tcW w:w="2126" w:type="dxa"/>
            <w:vMerge w:val="restart"/>
          </w:tcPr>
          <w:p w:rsidR="00A40426" w:rsidRDefault="00D70C4A">
            <w:r>
              <w:t>Проведення невідкладних консерваційних робіт на частині пам’ятки</w:t>
            </w:r>
          </w:p>
        </w:tc>
        <w:tc>
          <w:tcPr>
            <w:tcW w:w="1276" w:type="dxa"/>
            <w:vMerge w:val="restart"/>
            <w:vAlign w:val="center"/>
          </w:tcPr>
          <w:p w:rsidR="00A40426" w:rsidRDefault="00D70C4A">
            <w:pPr>
              <w:jc w:val="center"/>
            </w:pPr>
            <w:r>
              <w:t>2024</w:t>
            </w:r>
          </w:p>
        </w:tc>
        <w:tc>
          <w:tcPr>
            <w:tcW w:w="1984" w:type="dxa"/>
            <w:vMerge w:val="restart"/>
          </w:tcPr>
          <w:p w:rsidR="00A40426" w:rsidRDefault="00D70C4A">
            <w:r>
              <w:t>Департамент сім’ї, молоді та спорту Чернігівської обласної державної адм</w:t>
            </w:r>
            <w:r>
              <w:t>іністрації, сертифіковані (ліцензовані) будівельні організації</w:t>
            </w:r>
          </w:p>
        </w:tc>
        <w:tc>
          <w:tcPr>
            <w:tcW w:w="1417" w:type="dxa"/>
            <w:vAlign w:val="center"/>
          </w:tcPr>
          <w:p w:rsidR="00A40426" w:rsidRDefault="00D70C4A">
            <w:r>
              <w:t>Обласний бюджет</w:t>
            </w:r>
          </w:p>
        </w:tc>
        <w:tc>
          <w:tcPr>
            <w:tcW w:w="1418" w:type="dxa"/>
            <w:vAlign w:val="center"/>
          </w:tcPr>
          <w:p w:rsidR="00A40426" w:rsidRDefault="00D70C4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40426" w:rsidRDefault="00D70C4A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40426" w:rsidRDefault="00D70C4A">
            <w:pPr>
              <w:ind w:left="113" w:right="113"/>
              <w:jc w:val="center"/>
            </w:pPr>
            <w:r>
              <w:t>8000,000</w:t>
            </w:r>
          </w:p>
        </w:tc>
        <w:tc>
          <w:tcPr>
            <w:tcW w:w="2835" w:type="dxa"/>
            <w:vMerge/>
            <w:vAlign w:val="center"/>
          </w:tcPr>
          <w:p w:rsidR="00A40426" w:rsidRDefault="00A40426">
            <w:pPr>
              <w:ind w:right="34"/>
              <w:jc w:val="both"/>
            </w:pPr>
          </w:p>
        </w:tc>
      </w:tr>
      <w:tr w:rsidR="00A40426">
        <w:trPr>
          <w:trHeight w:val="704"/>
        </w:trPr>
        <w:tc>
          <w:tcPr>
            <w:tcW w:w="425" w:type="dxa"/>
            <w:vMerge/>
            <w:vAlign w:val="center"/>
          </w:tcPr>
          <w:p w:rsidR="00A40426" w:rsidRDefault="00A40426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A40426" w:rsidRDefault="00A40426">
            <w:pPr>
              <w:spacing w:line="276" w:lineRule="auto"/>
            </w:pPr>
          </w:p>
        </w:tc>
        <w:tc>
          <w:tcPr>
            <w:tcW w:w="2126" w:type="dxa"/>
            <w:vMerge/>
            <w:vAlign w:val="center"/>
          </w:tcPr>
          <w:p w:rsidR="00A40426" w:rsidRDefault="00A40426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40426" w:rsidRDefault="00A4042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40426" w:rsidRDefault="00A40426"/>
        </w:tc>
        <w:tc>
          <w:tcPr>
            <w:tcW w:w="1417" w:type="dxa"/>
            <w:vAlign w:val="center"/>
          </w:tcPr>
          <w:p w:rsidR="00A40426" w:rsidRDefault="00D70C4A">
            <w:r>
              <w:t>Інші кошти</w:t>
            </w:r>
          </w:p>
        </w:tc>
        <w:tc>
          <w:tcPr>
            <w:tcW w:w="1418" w:type="dxa"/>
            <w:vAlign w:val="center"/>
          </w:tcPr>
          <w:p w:rsidR="00A40426" w:rsidRDefault="00D70C4A">
            <w:pPr>
              <w:jc w:val="center"/>
            </w:pPr>
            <w:r>
              <w:t>8000,000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A40426" w:rsidRDefault="00A40426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40426" w:rsidRDefault="00A40426">
            <w:pPr>
              <w:ind w:left="113" w:right="113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A40426" w:rsidRDefault="00A40426">
            <w:pPr>
              <w:ind w:right="34"/>
              <w:jc w:val="both"/>
            </w:pPr>
          </w:p>
        </w:tc>
      </w:tr>
      <w:tr w:rsidR="00A40426">
        <w:trPr>
          <w:trHeight w:val="704"/>
        </w:trPr>
        <w:tc>
          <w:tcPr>
            <w:tcW w:w="425" w:type="dxa"/>
            <w:vMerge w:val="restart"/>
            <w:vAlign w:val="center"/>
          </w:tcPr>
          <w:p w:rsidR="00A40426" w:rsidRDefault="00A40426">
            <w:pPr>
              <w:jc w:val="both"/>
            </w:pPr>
          </w:p>
        </w:tc>
        <w:tc>
          <w:tcPr>
            <w:tcW w:w="1844" w:type="dxa"/>
            <w:vMerge w:val="restart"/>
          </w:tcPr>
          <w:p w:rsidR="00A40426" w:rsidRDefault="00D70C4A">
            <w:pPr>
              <w:ind w:right="-120"/>
            </w:pPr>
            <w:r>
              <w:t xml:space="preserve">Невідкладні протиаварійні консерваційні </w:t>
            </w:r>
            <w:r>
              <w:lastRenderedPageBreak/>
              <w:t>роботи на пам’ятці архітектури місцевого значення «Воскресенська церква», охоронний № 73-Чг у с. Лукашівка</w:t>
            </w:r>
          </w:p>
        </w:tc>
        <w:tc>
          <w:tcPr>
            <w:tcW w:w="2126" w:type="dxa"/>
            <w:vMerge w:val="restart"/>
            <w:vAlign w:val="center"/>
          </w:tcPr>
          <w:p w:rsidR="00A40426" w:rsidRDefault="00D70C4A">
            <w:pPr>
              <w:jc w:val="both"/>
            </w:pPr>
            <w:r>
              <w:lastRenderedPageBreak/>
              <w:t xml:space="preserve">Проведення невідкладних протиаварійних </w:t>
            </w:r>
            <w:r>
              <w:lastRenderedPageBreak/>
              <w:t>консерваційних робіт на пам’ятці, у тому числі виготовлення науково-проектної документації на невідкладні прот</w:t>
            </w:r>
            <w:r>
              <w:t>иаварійні консерваційні роботи та проходження експертизи</w:t>
            </w:r>
          </w:p>
        </w:tc>
        <w:tc>
          <w:tcPr>
            <w:tcW w:w="1276" w:type="dxa"/>
            <w:vMerge w:val="restart"/>
            <w:vAlign w:val="center"/>
          </w:tcPr>
          <w:p w:rsidR="00A40426" w:rsidRDefault="00D70C4A">
            <w:pPr>
              <w:jc w:val="center"/>
            </w:pPr>
            <w:r>
              <w:lastRenderedPageBreak/>
              <w:t>2024</w:t>
            </w:r>
          </w:p>
        </w:tc>
        <w:tc>
          <w:tcPr>
            <w:tcW w:w="1984" w:type="dxa"/>
            <w:vMerge w:val="restart"/>
            <w:vAlign w:val="center"/>
          </w:tcPr>
          <w:p w:rsidR="00A40426" w:rsidRDefault="00D70C4A">
            <w:r>
              <w:t xml:space="preserve">Управління містобудування та архітектури </w:t>
            </w:r>
            <w:r>
              <w:lastRenderedPageBreak/>
              <w:t>Чернігівської обласної державної адміністрації, сертифіковані (ліцензовані) проектні та будівельні організації</w:t>
            </w:r>
          </w:p>
        </w:tc>
        <w:tc>
          <w:tcPr>
            <w:tcW w:w="1417" w:type="dxa"/>
            <w:vAlign w:val="center"/>
          </w:tcPr>
          <w:p w:rsidR="00A40426" w:rsidRDefault="00D70C4A">
            <w:r>
              <w:lastRenderedPageBreak/>
              <w:t>Обласний бюджет</w:t>
            </w:r>
          </w:p>
        </w:tc>
        <w:tc>
          <w:tcPr>
            <w:tcW w:w="1418" w:type="dxa"/>
            <w:vAlign w:val="center"/>
          </w:tcPr>
          <w:p w:rsidR="00A40426" w:rsidRDefault="00D70C4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40426" w:rsidRDefault="00D70C4A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40426" w:rsidRDefault="00D70C4A">
            <w:pPr>
              <w:ind w:left="113" w:right="113"/>
              <w:jc w:val="center"/>
            </w:pPr>
            <w:r>
              <w:t>3560,000</w:t>
            </w:r>
          </w:p>
        </w:tc>
        <w:tc>
          <w:tcPr>
            <w:tcW w:w="2835" w:type="dxa"/>
            <w:vMerge/>
            <w:vAlign w:val="center"/>
          </w:tcPr>
          <w:p w:rsidR="00A40426" w:rsidRDefault="00A40426">
            <w:pPr>
              <w:jc w:val="both"/>
              <w:rPr>
                <w:b/>
              </w:rPr>
            </w:pPr>
          </w:p>
        </w:tc>
      </w:tr>
      <w:tr w:rsidR="00A40426">
        <w:trPr>
          <w:trHeight w:val="704"/>
        </w:trPr>
        <w:tc>
          <w:tcPr>
            <w:tcW w:w="425" w:type="dxa"/>
            <w:vMerge/>
            <w:vAlign w:val="center"/>
          </w:tcPr>
          <w:p w:rsidR="00A40426" w:rsidRDefault="00A40426">
            <w:pPr>
              <w:jc w:val="both"/>
            </w:pPr>
          </w:p>
        </w:tc>
        <w:tc>
          <w:tcPr>
            <w:tcW w:w="1844" w:type="dxa"/>
            <w:vMerge/>
            <w:vAlign w:val="center"/>
          </w:tcPr>
          <w:p w:rsidR="00A40426" w:rsidRDefault="00A40426">
            <w:pPr>
              <w:spacing w:line="276" w:lineRule="auto"/>
            </w:pPr>
          </w:p>
        </w:tc>
        <w:tc>
          <w:tcPr>
            <w:tcW w:w="2126" w:type="dxa"/>
            <w:vMerge/>
            <w:vAlign w:val="center"/>
          </w:tcPr>
          <w:p w:rsidR="00A40426" w:rsidRDefault="00A40426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40426" w:rsidRDefault="00A4042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40426" w:rsidRDefault="00A40426"/>
        </w:tc>
        <w:tc>
          <w:tcPr>
            <w:tcW w:w="1417" w:type="dxa"/>
            <w:vAlign w:val="center"/>
          </w:tcPr>
          <w:p w:rsidR="00A40426" w:rsidRDefault="00D70C4A">
            <w:r>
              <w:t>Інші кошти</w:t>
            </w:r>
          </w:p>
        </w:tc>
        <w:tc>
          <w:tcPr>
            <w:tcW w:w="1418" w:type="dxa"/>
            <w:vAlign w:val="center"/>
          </w:tcPr>
          <w:p w:rsidR="00A40426" w:rsidRDefault="00D70C4A">
            <w:pPr>
              <w:jc w:val="center"/>
            </w:pPr>
            <w:r>
              <w:t>3560,000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A40426" w:rsidRDefault="00A40426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40426" w:rsidRDefault="00A40426">
            <w:pPr>
              <w:ind w:left="113" w:right="113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A40426" w:rsidRDefault="00A40426">
            <w:pPr>
              <w:jc w:val="both"/>
              <w:rPr>
                <w:b/>
              </w:rPr>
            </w:pPr>
          </w:p>
        </w:tc>
      </w:tr>
      <w:tr w:rsidR="00A40426">
        <w:trPr>
          <w:cantSplit/>
          <w:trHeight w:val="602"/>
        </w:trPr>
        <w:tc>
          <w:tcPr>
            <w:tcW w:w="9072" w:type="dxa"/>
            <w:gridSpan w:val="6"/>
            <w:vAlign w:val="center"/>
          </w:tcPr>
          <w:p w:rsidR="00A40426" w:rsidRDefault="00D70C4A">
            <w:pPr>
              <w:jc w:val="both"/>
            </w:pPr>
            <w:r>
              <w:t>Всього, тис. грн</w:t>
            </w:r>
          </w:p>
        </w:tc>
        <w:tc>
          <w:tcPr>
            <w:tcW w:w="1418" w:type="dxa"/>
            <w:vAlign w:val="center"/>
          </w:tcPr>
          <w:p w:rsidR="00A40426" w:rsidRDefault="00D70C4A">
            <w:pPr>
              <w:jc w:val="center"/>
            </w:pPr>
            <w:r>
              <w:t>12527,258</w:t>
            </w:r>
          </w:p>
        </w:tc>
        <w:tc>
          <w:tcPr>
            <w:tcW w:w="1134" w:type="dxa"/>
            <w:vAlign w:val="center"/>
          </w:tcPr>
          <w:p w:rsidR="00A40426" w:rsidRDefault="00D70C4A">
            <w:pPr>
              <w:jc w:val="center"/>
            </w:pPr>
            <w:r>
              <w:t>967,258</w:t>
            </w:r>
          </w:p>
        </w:tc>
        <w:tc>
          <w:tcPr>
            <w:tcW w:w="1134" w:type="dxa"/>
            <w:vAlign w:val="center"/>
          </w:tcPr>
          <w:p w:rsidR="00A40426" w:rsidRDefault="00D70C4A">
            <w:pPr>
              <w:jc w:val="center"/>
            </w:pPr>
            <w:r>
              <w:t>11560,000</w:t>
            </w:r>
          </w:p>
        </w:tc>
        <w:tc>
          <w:tcPr>
            <w:tcW w:w="2835" w:type="dxa"/>
            <w:vAlign w:val="center"/>
          </w:tcPr>
          <w:p w:rsidR="00A40426" w:rsidRDefault="00A40426">
            <w:pPr>
              <w:jc w:val="center"/>
            </w:pPr>
          </w:p>
        </w:tc>
      </w:tr>
    </w:tbl>
    <w:p w:rsidR="00A40426" w:rsidRDefault="00A40426">
      <w:pPr>
        <w:rPr>
          <w:sz w:val="28"/>
          <w:szCs w:val="28"/>
        </w:rPr>
      </w:pPr>
    </w:p>
    <w:p w:rsidR="00A40426" w:rsidRDefault="00D70C4A">
      <w:pPr>
        <w:rPr>
          <w:sz w:val="28"/>
          <w:szCs w:val="28"/>
        </w:rPr>
      </w:pPr>
      <w:r>
        <w:rPr>
          <w:sz w:val="28"/>
          <w:szCs w:val="28"/>
        </w:rPr>
        <w:t xml:space="preserve">В. о. начальника Управління </w:t>
      </w:r>
    </w:p>
    <w:p w:rsidR="00A40426" w:rsidRDefault="00D70C4A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A40426" w:rsidRDefault="00D70C4A">
      <w:pPr>
        <w:rPr>
          <w:sz w:val="28"/>
          <w:szCs w:val="28"/>
        </w:rPr>
      </w:pPr>
      <w:r>
        <w:rPr>
          <w:sz w:val="28"/>
          <w:szCs w:val="28"/>
        </w:rPr>
        <w:t>Чернігівської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КУРЕНЯ</w:t>
      </w:r>
    </w:p>
    <w:sectPr w:rsidR="00A40426">
      <w:headerReference w:type="even" r:id="rId8"/>
      <w:pgSz w:w="16838" w:h="11906" w:orient="landscape"/>
      <w:pgMar w:top="1134" w:right="962" w:bottom="993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4A" w:rsidRDefault="00D70C4A">
      <w:r>
        <w:separator/>
      </w:r>
    </w:p>
  </w:endnote>
  <w:endnote w:type="continuationSeparator" w:id="0">
    <w:p w:rsidR="00D70C4A" w:rsidRDefault="00D7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4A" w:rsidRDefault="00D70C4A">
      <w:r>
        <w:separator/>
      </w:r>
    </w:p>
  </w:footnote>
  <w:footnote w:type="continuationSeparator" w:id="0">
    <w:p w:rsidR="00D70C4A" w:rsidRDefault="00D7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26" w:rsidRDefault="00D70C4A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0426" w:rsidRDefault="00A404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236CB"/>
    <w:multiLevelType w:val="hybridMultilevel"/>
    <w:tmpl w:val="87BA72E8"/>
    <w:lvl w:ilvl="0" w:tplc="97F2A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C70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033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E99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6B2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2469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CE9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E7A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4C8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26"/>
    <w:rsid w:val="000E3435"/>
    <w:rsid w:val="001F5D22"/>
    <w:rsid w:val="00A40426"/>
    <w:rsid w:val="00D70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7D4A8-9E3C-4EB3-82D6-F3CC8575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ідзаголовок Знак"/>
    <w:basedOn w:val="a0"/>
    <w:link w:val="a3"/>
    <w:uiPriority w:val="11"/>
    <w:rPr>
      <w:sz w:val="24"/>
      <w:szCs w:val="24"/>
    </w:rPr>
  </w:style>
  <w:style w:type="paragraph" w:styleId="a5">
    <w:name w:val="Quote"/>
    <w:basedOn w:val="a"/>
    <w:next w:val="a"/>
    <w:link w:val="a6"/>
    <w:uiPriority w:val="29"/>
    <w:qFormat/>
    <w:pPr>
      <w:ind w:left="720" w:right="720"/>
    </w:pPr>
    <w:rPr>
      <w:i/>
    </w:rPr>
  </w:style>
  <w:style w:type="character" w:customStyle="1" w:styleId="a6">
    <w:name w:val="Цитата Знак"/>
    <w:link w:val="a5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Насичена цитата Знак"/>
    <w:link w:val="a7"/>
    <w:uiPriority w:val="30"/>
    <w:rPr>
      <w:i/>
    </w:rPr>
  </w:style>
  <w:style w:type="character" w:customStyle="1" w:styleId="a9">
    <w:name w:val="Верхні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і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f6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7">
    <w:name w:val="Body Text"/>
    <w:basedOn w:val="a"/>
    <w:link w:val="af8"/>
    <w:pPr>
      <w:jc w:val="both"/>
    </w:pPr>
    <w:rPr>
      <w:sz w:val="28"/>
      <w:szCs w:val="28"/>
    </w:rPr>
  </w:style>
  <w:style w:type="character" w:customStyle="1" w:styleId="af8">
    <w:name w:val="Основний текст Знак"/>
    <w:link w:val="af7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b">
    <w:name w:val="Balloon Text"/>
    <w:basedOn w:val="a"/>
    <w:link w:val="afc"/>
    <w:rPr>
      <w:rFonts w:ascii="Segoe UI" w:hAnsi="Segoe UI"/>
      <w:sz w:val="18"/>
      <w:szCs w:val="18"/>
    </w:rPr>
  </w:style>
  <w:style w:type="character" w:customStyle="1" w:styleId="afc">
    <w:name w:val="Текст у виносці Знак"/>
    <w:link w:val="afb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Pr>
      <w:rFonts w:ascii="Cambria" w:hAnsi="Cambria"/>
      <w:b/>
      <w:bCs/>
      <w:sz w:val="26"/>
      <w:szCs w:val="26"/>
      <w:lang w:val="ru-RU" w:eastAsia="ru-RU"/>
    </w:rPr>
  </w:style>
  <w:style w:type="character" w:styleId="afd">
    <w:name w:val="Emphasis"/>
    <w:uiPriority w:val="20"/>
    <w:qFormat/>
    <w:rPr>
      <w:i/>
      <w:iCs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Title"/>
    <w:basedOn w:val="a"/>
    <w:link w:val="aff0"/>
    <w:qFormat/>
    <w:pPr>
      <w:jc w:val="center"/>
    </w:pPr>
    <w:rPr>
      <w:b/>
      <w:bCs/>
      <w:sz w:val="24"/>
      <w:szCs w:val="24"/>
    </w:rPr>
  </w:style>
  <w:style w:type="character" w:customStyle="1" w:styleId="aff0">
    <w:name w:val="Назва Знак"/>
    <w:basedOn w:val="a0"/>
    <w:link w:val="aff"/>
    <w:rPr>
      <w:b/>
      <w:bCs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D98FA5A-4E9F-4F96-A4F8-9FD3736535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dcterms:created xsi:type="dcterms:W3CDTF">2023-12-08T08:24:00Z</dcterms:created>
  <dcterms:modified xsi:type="dcterms:W3CDTF">2023-12-08T08:24:00Z</dcterms:modified>
</cp:coreProperties>
</file>